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CB99" w14:textId="77777777" w:rsidR="00D97B72" w:rsidRPr="00D97B72" w:rsidRDefault="00D97B72" w:rsidP="00D9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B72">
        <w:rPr>
          <w:rFonts w:ascii="Times New Roman" w:eastAsia="Times New Roman" w:hAnsi="Times New Roman" w:cs="Times New Roman"/>
          <w:sz w:val="24"/>
          <w:szCs w:val="24"/>
        </w:rPr>
        <w:t>Art. 33 d.lgs. n. 33/2013</w:t>
      </w:r>
    </w:p>
    <w:p w14:paraId="30577CE8" w14:textId="77777777" w:rsidR="00D97B72" w:rsidRPr="00D97B72" w:rsidRDefault="00D97B72" w:rsidP="00D9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B72">
        <w:rPr>
          <w:rFonts w:ascii="Times New Roman" w:eastAsia="Times New Roman" w:hAnsi="Times New Roman" w:cs="Times New Roman"/>
          <w:sz w:val="24"/>
          <w:szCs w:val="24"/>
        </w:rPr>
        <w:t>Obblighi di pubblicazione concernenti i tempi di pagamento dell’amministrazione</w:t>
      </w:r>
    </w:p>
    <w:p w14:paraId="275F9F55" w14:textId="77777777" w:rsidR="00D97B72" w:rsidRPr="00D97B72" w:rsidRDefault="00D97B72" w:rsidP="00D97B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B72">
        <w:rPr>
          <w:rFonts w:ascii="Times New Roman" w:eastAsia="Times New Roman" w:hAnsi="Times New Roman" w:cs="Times New Roman"/>
          <w:sz w:val="24"/>
          <w:szCs w:val="24"/>
        </w:rPr>
        <w:t xml:space="preserve">Fermo restando quanto previsto dall’articolo 9-bis, le pubbliche amministrazioni pubblicano, con cadenza annuale, un indicatore dei propri tempi medi di pagamento relativi agli acquisti di beni, servizi, prestazioni professionali e forniture, denominato “indicatore annuale di tempestività dei pagamenti”, nonché l’ammontate complessivo dei debiti e il numero delle imprese creditrici. A decorrere dall’anno 2015, con cadenza trimestrale, le pubbliche amministrazioni pubblicano un indicatore, avente il medesimo oggetto, denominato “indicatore trimestrale di tempestività dei pagamenti”, nonché l’ammontare complessivo dei debiti e il numero delle imprese creditrici. Gli indicatori di cui al presente comma sono elaborati e pubblicati, anche attraverso il ricorso a un portale unico, secondo uno schema tipo e modalità definite con decreto del Presidente del </w:t>
      </w:r>
      <w:proofErr w:type="gramStart"/>
      <w:r w:rsidRPr="00D97B72">
        <w:rPr>
          <w:rFonts w:ascii="Times New Roman" w:eastAsia="Times New Roman" w:hAnsi="Times New Roman" w:cs="Times New Roman"/>
          <w:sz w:val="24"/>
          <w:szCs w:val="24"/>
        </w:rPr>
        <w:t>Consiglio dei Ministri</w:t>
      </w:r>
      <w:proofErr w:type="gramEnd"/>
      <w:r w:rsidRPr="00D97B72">
        <w:rPr>
          <w:rFonts w:ascii="Times New Roman" w:eastAsia="Times New Roman" w:hAnsi="Times New Roman" w:cs="Times New Roman"/>
          <w:sz w:val="24"/>
          <w:szCs w:val="24"/>
        </w:rPr>
        <w:t xml:space="preserve"> da adottare sentita la Conferenza unificata.</w:t>
      </w:r>
    </w:p>
    <w:p w14:paraId="1A704B8F" w14:textId="77777777" w:rsidR="00D97B72" w:rsidRPr="00D97B72" w:rsidRDefault="00D97B72" w:rsidP="00D97B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7B72">
        <w:rPr>
          <w:rFonts w:ascii="Times New Roman" w:eastAsia="Times New Roman" w:hAnsi="Times New Roman" w:cs="Times New Roman"/>
          <w:sz w:val="24"/>
          <w:szCs w:val="24"/>
        </w:rPr>
        <w:t>(comma sostituito dall’art. 8, comma 1, legge n. 89 del 2014, poi modificato dall’art. 9 del d-lgs. N. 97 del 2016).</w:t>
      </w:r>
    </w:p>
    <w:p w14:paraId="610F71F5" w14:textId="77777777" w:rsidR="00D97B72" w:rsidRPr="00D97B72" w:rsidRDefault="00D97B72" w:rsidP="00D97B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7B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93A902" w14:textId="77777777" w:rsidR="00D97B72" w:rsidRPr="00D97B72" w:rsidRDefault="00D97B72" w:rsidP="00D97B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7B72">
        <w:rPr>
          <w:rFonts w:ascii="Times New Roman" w:eastAsia="Times New Roman" w:hAnsi="Times New Roman" w:cs="Times New Roman"/>
          <w:sz w:val="24"/>
          <w:szCs w:val="24"/>
        </w:rPr>
        <w:t>L’Ordine esegue i pagamenti sempre entro 30 giorni data fattura, salvo indicazioni di pagamento diverse presenti in fattura, attendendosi a tutte le scadenze previste.</w:t>
      </w:r>
    </w:p>
    <w:p w14:paraId="641EFBBE" w14:textId="77777777" w:rsidR="00DC1AB9" w:rsidRPr="00D97B72" w:rsidRDefault="00DC1AB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C1AB9" w:rsidRPr="00D97B72" w:rsidSect="00CD59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6B46" w14:textId="77777777" w:rsidR="00D97B72" w:rsidRDefault="00D97B72" w:rsidP="00D97B72">
      <w:pPr>
        <w:spacing w:after="0" w:line="240" w:lineRule="auto"/>
      </w:pPr>
      <w:r>
        <w:separator/>
      </w:r>
    </w:p>
  </w:endnote>
  <w:endnote w:type="continuationSeparator" w:id="0">
    <w:p w14:paraId="2FA6EB35" w14:textId="77777777" w:rsidR="00D97B72" w:rsidRDefault="00D97B72" w:rsidP="00D9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7589" w14:textId="77777777" w:rsidR="00D97B72" w:rsidRDefault="00D97B72" w:rsidP="00D97B72">
      <w:pPr>
        <w:spacing w:after="0" w:line="240" w:lineRule="auto"/>
      </w:pPr>
      <w:r>
        <w:separator/>
      </w:r>
    </w:p>
  </w:footnote>
  <w:footnote w:type="continuationSeparator" w:id="0">
    <w:p w14:paraId="71CC7E15" w14:textId="77777777" w:rsidR="00D97B72" w:rsidRDefault="00D97B72" w:rsidP="00D9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BA1F" w14:textId="77777777" w:rsidR="00D97B72" w:rsidRPr="00BC59BD" w:rsidRDefault="00D97B72" w:rsidP="00D97B72">
    <w:pPr>
      <w:pStyle w:val="Intestazione"/>
    </w:pPr>
    <w:r>
      <w:rPr>
        <w:noProof/>
      </w:rPr>
      <w:drawing>
        <wp:inline distT="0" distB="0" distL="0" distR="0" wp14:anchorId="4AA9E797" wp14:editId="3FF8475F">
          <wp:extent cx="6010275" cy="914400"/>
          <wp:effectExtent l="0" t="0" r="9525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828"/>
                  <a:stretch/>
                </pic:blipFill>
                <pic:spPr bwMode="auto">
                  <a:xfrm>
                    <a:off x="0" y="0"/>
                    <a:ext cx="6010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4B5485" w14:textId="77777777" w:rsidR="00D97B72" w:rsidRDefault="00D97B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B2E17"/>
    <w:multiLevelType w:val="multilevel"/>
    <w:tmpl w:val="D7A2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07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72"/>
    <w:rsid w:val="00615BE2"/>
    <w:rsid w:val="00995DE2"/>
    <w:rsid w:val="00CD5976"/>
    <w:rsid w:val="00D97B72"/>
    <w:rsid w:val="00D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790A"/>
  <w15:chartTrackingRefBased/>
  <w15:docId w15:val="{0329C776-5A86-4BF6-9BBA-31595A56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5736649939345683610msolistparagraph">
    <w:name w:val="m_5736649939345683610msolistparagraph"/>
    <w:basedOn w:val="Normale"/>
    <w:rsid w:val="00D9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7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7B72"/>
  </w:style>
  <w:style w:type="paragraph" w:styleId="Pidipagina">
    <w:name w:val="footer"/>
    <w:basedOn w:val="Normale"/>
    <w:link w:val="PidipaginaCarattere"/>
    <w:uiPriority w:val="99"/>
    <w:unhideWhenUsed/>
    <w:rsid w:val="00D97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Perna</dc:creator>
  <cp:keywords/>
  <dc:description/>
  <cp:lastModifiedBy>Stefano Perna</cp:lastModifiedBy>
  <cp:revision>1</cp:revision>
  <dcterms:created xsi:type="dcterms:W3CDTF">2022-10-31T10:54:00Z</dcterms:created>
  <dcterms:modified xsi:type="dcterms:W3CDTF">2022-10-31T10:57:00Z</dcterms:modified>
</cp:coreProperties>
</file>